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40" w:lineRule="exact"/>
        <w:rPr>
          <w:rFonts w:hint="eastAsia" w:ascii="方正小标宋_GBK" w:eastAsia="方正小标宋_GBK"/>
          <w:spacing w:val="-6"/>
          <w:sz w:val="36"/>
          <w:szCs w:val="36"/>
        </w:rPr>
      </w:pPr>
      <w:bookmarkStart w:id="0" w:name="_GoBack"/>
      <w:bookmarkEnd w:id="0"/>
    </w:p>
    <w:p>
      <w:pPr>
        <w:pStyle w:val="6"/>
        <w:spacing w:line="540" w:lineRule="exact"/>
        <w:jc w:val="center"/>
        <w:rPr>
          <w:rFonts w:hint="eastAsia" w:ascii="方正小标宋_GBK" w:eastAsia="方正小标宋_GBK"/>
          <w:spacing w:val="-6"/>
          <w:sz w:val="36"/>
          <w:szCs w:val="36"/>
        </w:rPr>
      </w:pPr>
      <w:r>
        <w:rPr>
          <w:rFonts w:hint="eastAsia" w:ascii="方正小标宋_GBK" w:eastAsia="方正小标宋_GBK"/>
          <w:spacing w:val="-6"/>
          <w:sz w:val="36"/>
          <w:szCs w:val="36"/>
        </w:rPr>
        <w:t>惠州市哲学社会科学规划</w:t>
      </w:r>
      <w:r>
        <w:rPr>
          <w:rFonts w:hint="eastAsia" w:ascii="方正小标宋_GBK" w:eastAsia="方正小标宋_GBK"/>
          <w:spacing w:val="-6"/>
          <w:sz w:val="36"/>
          <w:szCs w:val="36"/>
          <w:lang w:val="en-US" w:eastAsia="zh-CN"/>
        </w:rPr>
        <w:t>2020</w:t>
      </w:r>
      <w:r>
        <w:rPr>
          <w:rFonts w:hint="eastAsia" w:ascii="方正小标宋_GBK" w:eastAsia="方正小标宋_GBK"/>
          <w:spacing w:val="-6"/>
          <w:sz w:val="36"/>
          <w:szCs w:val="36"/>
        </w:rPr>
        <w:t>年度获准立项项目名单</w:t>
      </w:r>
    </w:p>
    <w:p>
      <w:pPr>
        <w:pStyle w:val="6"/>
        <w:spacing w:line="540" w:lineRule="exact"/>
        <w:ind w:right="-58"/>
        <w:jc w:val="center"/>
        <w:rPr>
          <w:rFonts w:hint="eastAsia" w:ascii="楷体_GB2312" w:eastAsia="楷体_GB2312"/>
          <w:sz w:val="24"/>
        </w:rPr>
      </w:pPr>
      <w:r>
        <w:rPr>
          <w:rFonts w:hint="eastAsia" w:ascii="楷体_GB2312" w:eastAsia="楷体_GB2312"/>
          <w:sz w:val="24"/>
        </w:rPr>
        <w:t>（排名不分先后）</w:t>
      </w:r>
    </w:p>
    <w:p>
      <w:pPr>
        <w:pStyle w:val="6"/>
        <w:spacing w:line="540" w:lineRule="exact"/>
        <w:ind w:right="-58"/>
        <w:jc w:val="right"/>
        <w:rPr>
          <w:rFonts w:hint="eastAsia" w:ascii="楷体_GB2312" w:eastAsia="楷体_GB2312"/>
          <w:sz w:val="24"/>
        </w:rPr>
      </w:pPr>
      <w:r>
        <w:rPr>
          <w:rFonts w:hint="eastAsia" w:ascii="楷体_GB2312" w:eastAsia="楷体_GB2312"/>
          <w:sz w:val="24"/>
        </w:rPr>
        <w:t>总计：</w:t>
      </w:r>
      <w:r>
        <w:rPr>
          <w:rFonts w:hint="eastAsia" w:ascii="楷体_GB2312" w:eastAsia="楷体_GB2312"/>
          <w:sz w:val="24"/>
          <w:highlight w:val="none"/>
          <w:lang w:val="en-US" w:eastAsia="zh-CN"/>
        </w:rPr>
        <w:t>50</w:t>
      </w:r>
      <w:r>
        <w:rPr>
          <w:rFonts w:hint="eastAsia" w:ascii="楷体_GB2312" w:eastAsia="楷体_GB2312"/>
          <w:sz w:val="24"/>
        </w:rPr>
        <w:t>项</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95"/>
        <w:gridCol w:w="5492"/>
        <w:gridCol w:w="1016"/>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ascii="黑体" w:hAnsi="Arial" w:eastAsia="黑体" w:cs="Arial"/>
                <w:kern w:val="0"/>
                <w:sz w:val="24"/>
              </w:rPr>
            </w:pPr>
            <w:r>
              <w:rPr>
                <w:rFonts w:hint="eastAsia" w:ascii="黑体" w:hAnsi="Arial" w:eastAsia="黑体" w:cs="Arial"/>
                <w:kern w:val="0"/>
                <w:sz w:val="24"/>
              </w:rPr>
              <w:t>序号</w:t>
            </w:r>
          </w:p>
        </w:tc>
        <w:tc>
          <w:tcPr>
            <w:tcW w:w="895" w:type="dxa"/>
            <w:noWrap w:val="0"/>
            <w:vAlign w:val="center"/>
          </w:tcPr>
          <w:p>
            <w:pPr>
              <w:pStyle w:val="7"/>
              <w:widowControl/>
              <w:jc w:val="center"/>
              <w:rPr>
                <w:rFonts w:hint="eastAsia" w:ascii="黑体" w:hAnsi="Arial" w:eastAsia="黑体" w:cs="Arial"/>
                <w:kern w:val="0"/>
                <w:sz w:val="24"/>
              </w:rPr>
            </w:pPr>
            <w:r>
              <w:rPr>
                <w:rFonts w:hint="eastAsia" w:ascii="黑体" w:hAnsi="Arial" w:eastAsia="黑体" w:cs="Arial"/>
                <w:kern w:val="0"/>
                <w:sz w:val="24"/>
              </w:rPr>
              <w:t>项目类型</w:t>
            </w:r>
          </w:p>
        </w:tc>
        <w:tc>
          <w:tcPr>
            <w:tcW w:w="5492" w:type="dxa"/>
            <w:noWrap w:val="0"/>
            <w:vAlign w:val="center"/>
          </w:tcPr>
          <w:p>
            <w:pPr>
              <w:pStyle w:val="7"/>
              <w:widowControl/>
              <w:jc w:val="center"/>
              <w:rPr>
                <w:rFonts w:ascii="黑体" w:hAnsi="Arial" w:eastAsia="黑体" w:cs="Arial"/>
                <w:kern w:val="0"/>
                <w:sz w:val="24"/>
              </w:rPr>
            </w:pPr>
            <w:r>
              <w:rPr>
                <w:rFonts w:hint="eastAsia" w:ascii="黑体" w:hAnsi="Arial" w:eastAsia="黑体" w:cs="Arial"/>
                <w:kern w:val="0"/>
                <w:sz w:val="24"/>
              </w:rPr>
              <w:t>项目名称</w:t>
            </w:r>
          </w:p>
        </w:tc>
        <w:tc>
          <w:tcPr>
            <w:tcW w:w="1016" w:type="dxa"/>
            <w:noWrap w:val="0"/>
            <w:vAlign w:val="center"/>
          </w:tcPr>
          <w:p>
            <w:pPr>
              <w:pStyle w:val="7"/>
              <w:widowControl/>
              <w:jc w:val="center"/>
              <w:rPr>
                <w:rFonts w:ascii="黑体" w:hAnsi="Arial" w:eastAsia="黑体" w:cs="Arial"/>
                <w:kern w:val="0"/>
                <w:sz w:val="24"/>
              </w:rPr>
            </w:pPr>
            <w:r>
              <w:rPr>
                <w:rFonts w:hint="eastAsia" w:ascii="黑体" w:hAnsi="Arial" w:eastAsia="黑体" w:cs="Arial"/>
                <w:kern w:val="0"/>
                <w:sz w:val="24"/>
              </w:rPr>
              <w:t>负责人</w:t>
            </w:r>
          </w:p>
        </w:tc>
        <w:tc>
          <w:tcPr>
            <w:tcW w:w="1554" w:type="dxa"/>
            <w:noWrap w:val="0"/>
            <w:vAlign w:val="center"/>
          </w:tcPr>
          <w:p>
            <w:pPr>
              <w:pStyle w:val="7"/>
              <w:widowControl/>
              <w:jc w:val="center"/>
              <w:rPr>
                <w:rFonts w:ascii="黑体" w:hAnsi="Arial" w:eastAsia="黑体" w:cs="Arial"/>
                <w:kern w:val="0"/>
                <w:sz w:val="24"/>
              </w:rPr>
            </w:pPr>
            <w:r>
              <w:rPr>
                <w:rFonts w:hint="eastAsia" w:ascii="黑体" w:hAnsi="Arial" w:eastAsia="黑体" w:cs="Arial"/>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1</w:t>
            </w:r>
          </w:p>
        </w:tc>
        <w:tc>
          <w:tcPr>
            <w:tcW w:w="895" w:type="dxa"/>
            <w:vMerge w:val="restart"/>
            <w:noWrap w:val="0"/>
            <w:vAlign w:val="center"/>
          </w:tcPr>
          <w:p>
            <w:pPr>
              <w:pStyle w:val="7"/>
              <w:widowControl/>
              <w:jc w:val="center"/>
              <w:rPr>
                <w:rFonts w:hint="eastAsia" w:ascii="黑体" w:hAnsi="Arial" w:eastAsia="黑体" w:cs="Arial"/>
                <w:b/>
                <w:kern w:val="0"/>
                <w:sz w:val="24"/>
              </w:rPr>
            </w:pPr>
            <w:r>
              <w:rPr>
                <w:rFonts w:hint="eastAsia" w:ascii="楷体_GB2312" w:hAnsi="Arial" w:eastAsia="楷体_GB2312" w:cs="Arial"/>
                <w:b/>
                <w:kern w:val="0"/>
                <w:sz w:val="24"/>
              </w:rPr>
              <w:t>重点项目</w:t>
            </w: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博罗县新时代文明实践中心建设路径研究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韩维斌</w:t>
            </w:r>
          </w:p>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张建光</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市委宣传部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2</w:t>
            </w:r>
          </w:p>
        </w:tc>
        <w:tc>
          <w:tcPr>
            <w:tcW w:w="895" w:type="dxa"/>
            <w:vMerge w:val="continue"/>
            <w:noWrap w:val="0"/>
            <w:vAlign w:val="center"/>
          </w:tcPr>
          <w:p>
            <w:pPr>
              <w:pStyle w:val="7"/>
              <w:jc w:val="center"/>
              <w:rPr>
                <w:rFonts w:hint="eastAsia" w:ascii="楷体_GB2312" w:hAnsi="Arial" w:eastAsia="楷体_GB2312" w:cs="Arial"/>
                <w:b/>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精准运用监督执纪“七个看”和问责“六字诀” 推动我市纪检监察工作高质量发展</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邓妍妍</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市纪委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3</w:t>
            </w:r>
          </w:p>
        </w:tc>
        <w:tc>
          <w:tcPr>
            <w:tcW w:w="895" w:type="dxa"/>
            <w:vMerge w:val="continue"/>
            <w:noWrap w:val="0"/>
            <w:vAlign w:val="center"/>
          </w:tcPr>
          <w:p>
            <w:pPr>
              <w:pStyle w:val="7"/>
              <w:jc w:val="center"/>
              <w:rPr>
                <w:rFonts w:hint="eastAsia" w:ascii="楷体_GB2312" w:hAnsi="Arial" w:eastAsia="楷体_GB2312" w:cs="Arial"/>
                <w:b/>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制造业高质量发展人才支撑问题研究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吕川抒</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4</w:t>
            </w:r>
          </w:p>
        </w:tc>
        <w:tc>
          <w:tcPr>
            <w:tcW w:w="895" w:type="dxa"/>
            <w:vMerge w:val="continue"/>
            <w:noWrap w:val="0"/>
            <w:vAlign w:val="center"/>
          </w:tcPr>
          <w:p>
            <w:pPr>
              <w:pStyle w:val="7"/>
              <w:jc w:val="center"/>
              <w:rPr>
                <w:rFonts w:hint="eastAsia" w:ascii="楷体_GB2312" w:hAnsi="Arial" w:eastAsia="楷体_GB2312" w:cs="Arial"/>
                <w:b/>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新冠肺炎疫情影响下惠州电子信息产业发展研究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陈勇</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5</w:t>
            </w:r>
          </w:p>
        </w:tc>
        <w:tc>
          <w:tcPr>
            <w:tcW w:w="895" w:type="dxa"/>
            <w:vMerge w:val="continue"/>
            <w:noWrap w:val="0"/>
            <w:vAlign w:val="center"/>
          </w:tcPr>
          <w:p>
            <w:pPr>
              <w:pStyle w:val="7"/>
              <w:jc w:val="center"/>
              <w:rPr>
                <w:rFonts w:hint="eastAsia"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惠州市构建要素市场化配置体制机制对策研究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王国荣</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惠州市发展和改革局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6</w:t>
            </w:r>
          </w:p>
        </w:tc>
        <w:tc>
          <w:tcPr>
            <w:tcW w:w="895" w:type="dxa"/>
            <w:vMerge w:val="continue"/>
            <w:noWrap w:val="0"/>
            <w:vAlign w:val="center"/>
          </w:tcPr>
          <w:p>
            <w:pPr>
              <w:pStyle w:val="7"/>
              <w:widowControl/>
              <w:jc w:val="center"/>
              <w:rPr>
                <w:rFonts w:hint="eastAsia"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绿色供应链金融支持惠州经济高质量发展研究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袁进明</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中国人民银行惠州市中心支行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7</w:t>
            </w:r>
          </w:p>
        </w:tc>
        <w:tc>
          <w:tcPr>
            <w:tcW w:w="895" w:type="dxa"/>
            <w:vMerge w:val="continue"/>
            <w:noWrap w:val="0"/>
            <w:vAlign w:val="center"/>
          </w:tcPr>
          <w:p>
            <w:pPr>
              <w:pStyle w:val="7"/>
              <w:widowControl/>
              <w:jc w:val="center"/>
              <w:rPr>
                <w:rFonts w:hint="eastAsia"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新冠疫情影响下惠州服务业发展情况研究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罗志荣</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8</w:t>
            </w:r>
          </w:p>
        </w:tc>
        <w:tc>
          <w:tcPr>
            <w:tcW w:w="895" w:type="dxa"/>
            <w:vMerge w:val="continue"/>
            <w:noWrap w:val="0"/>
            <w:vAlign w:val="center"/>
          </w:tcPr>
          <w:p>
            <w:pPr>
              <w:pStyle w:val="7"/>
              <w:widowControl/>
              <w:jc w:val="center"/>
              <w:rPr>
                <w:rFonts w:hint="eastAsia"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惠州建设国内一流营商环境研究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孙晓说</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市社会科学研究中心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9</w:t>
            </w:r>
          </w:p>
        </w:tc>
        <w:tc>
          <w:tcPr>
            <w:tcW w:w="895" w:type="dxa"/>
            <w:vMerge w:val="continue"/>
            <w:noWrap w:val="0"/>
            <w:vAlign w:val="center"/>
          </w:tcPr>
          <w:p>
            <w:pPr>
              <w:pStyle w:val="7"/>
              <w:widowControl/>
              <w:jc w:val="center"/>
              <w:rPr>
                <w:rFonts w:hint="eastAsia"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惠州革命老区红色文化资源开发利用研究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徐旭阳</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10</w:t>
            </w:r>
          </w:p>
        </w:tc>
        <w:tc>
          <w:tcPr>
            <w:tcW w:w="895" w:type="dxa"/>
            <w:vMerge w:val="continue"/>
            <w:noWrap w:val="0"/>
            <w:vAlign w:val="center"/>
          </w:tcPr>
          <w:p>
            <w:pPr>
              <w:pStyle w:val="7"/>
              <w:widowControl/>
              <w:jc w:val="center"/>
              <w:rPr>
                <w:rFonts w:hint="eastAsia"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惠州“建设国内一流城市”内涵、指标体系及实现路径研究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梁乃锋</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惠州城市职业学院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ascii="黑体" w:hAnsi="Arial" w:eastAsia="黑体" w:cs="Arial"/>
                <w:kern w:val="0"/>
                <w:sz w:val="24"/>
              </w:rPr>
            </w:pPr>
            <w:r>
              <w:rPr>
                <w:rFonts w:hint="eastAsia" w:ascii="黑体" w:hAnsi="Arial" w:eastAsia="黑体" w:cs="Arial"/>
                <w:kern w:val="0"/>
                <w:sz w:val="24"/>
              </w:rPr>
              <w:t>序号</w:t>
            </w:r>
          </w:p>
        </w:tc>
        <w:tc>
          <w:tcPr>
            <w:tcW w:w="895" w:type="dxa"/>
            <w:noWrap w:val="0"/>
            <w:vAlign w:val="center"/>
          </w:tcPr>
          <w:p>
            <w:pPr>
              <w:pStyle w:val="7"/>
              <w:widowControl/>
              <w:jc w:val="center"/>
              <w:rPr>
                <w:rFonts w:hint="eastAsia" w:ascii="黑体" w:hAnsi="Arial" w:eastAsia="黑体" w:cs="Arial"/>
                <w:kern w:val="0"/>
                <w:sz w:val="24"/>
              </w:rPr>
            </w:pPr>
            <w:r>
              <w:rPr>
                <w:rFonts w:hint="eastAsia" w:ascii="黑体" w:hAnsi="Arial" w:eastAsia="黑体" w:cs="Arial"/>
                <w:kern w:val="0"/>
                <w:sz w:val="24"/>
              </w:rPr>
              <w:t>项目类型</w:t>
            </w:r>
          </w:p>
        </w:tc>
        <w:tc>
          <w:tcPr>
            <w:tcW w:w="5492" w:type="dxa"/>
            <w:noWrap w:val="0"/>
            <w:vAlign w:val="center"/>
          </w:tcPr>
          <w:p>
            <w:pPr>
              <w:pStyle w:val="7"/>
              <w:widowControl/>
              <w:jc w:val="center"/>
              <w:rPr>
                <w:rFonts w:ascii="黑体" w:hAnsi="Arial" w:eastAsia="黑体" w:cs="Arial"/>
                <w:kern w:val="0"/>
                <w:sz w:val="24"/>
              </w:rPr>
            </w:pPr>
            <w:r>
              <w:rPr>
                <w:rFonts w:hint="eastAsia" w:ascii="黑体" w:hAnsi="Arial" w:eastAsia="黑体" w:cs="Arial"/>
                <w:kern w:val="0"/>
                <w:sz w:val="24"/>
              </w:rPr>
              <w:t>项目名称</w:t>
            </w:r>
          </w:p>
        </w:tc>
        <w:tc>
          <w:tcPr>
            <w:tcW w:w="1016" w:type="dxa"/>
            <w:noWrap w:val="0"/>
            <w:vAlign w:val="center"/>
          </w:tcPr>
          <w:p>
            <w:pPr>
              <w:pStyle w:val="7"/>
              <w:widowControl/>
              <w:jc w:val="center"/>
              <w:rPr>
                <w:rFonts w:ascii="黑体" w:hAnsi="Arial" w:eastAsia="黑体" w:cs="Arial"/>
                <w:kern w:val="0"/>
                <w:sz w:val="24"/>
              </w:rPr>
            </w:pPr>
            <w:r>
              <w:rPr>
                <w:rFonts w:hint="eastAsia" w:ascii="黑体" w:hAnsi="Arial" w:eastAsia="黑体" w:cs="Arial"/>
                <w:kern w:val="0"/>
                <w:sz w:val="24"/>
              </w:rPr>
              <w:t>负责人</w:t>
            </w:r>
          </w:p>
        </w:tc>
        <w:tc>
          <w:tcPr>
            <w:tcW w:w="1554" w:type="dxa"/>
            <w:noWrap w:val="0"/>
            <w:vAlign w:val="center"/>
          </w:tcPr>
          <w:p>
            <w:pPr>
              <w:pStyle w:val="7"/>
              <w:widowControl/>
              <w:jc w:val="center"/>
              <w:rPr>
                <w:rFonts w:ascii="黑体" w:hAnsi="Arial" w:eastAsia="黑体" w:cs="Arial"/>
                <w:kern w:val="0"/>
                <w:sz w:val="24"/>
              </w:rPr>
            </w:pPr>
            <w:r>
              <w:rPr>
                <w:rFonts w:hint="eastAsia" w:ascii="黑体" w:hAnsi="Arial" w:eastAsia="黑体" w:cs="Arial"/>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1</w:t>
            </w:r>
          </w:p>
        </w:tc>
        <w:tc>
          <w:tcPr>
            <w:tcW w:w="895" w:type="dxa"/>
            <w:vMerge w:val="restart"/>
            <w:noWrap w:val="0"/>
            <w:vAlign w:val="center"/>
          </w:tcPr>
          <w:p>
            <w:pPr>
              <w:pStyle w:val="7"/>
              <w:jc w:val="center"/>
              <w:rPr>
                <w:rFonts w:hint="eastAsia" w:ascii="楷体_GB2312" w:hAnsi="Arial" w:eastAsia="楷体_GB2312" w:cs="Arial"/>
                <w:kern w:val="0"/>
                <w:sz w:val="24"/>
                <w:lang w:val="en-US" w:eastAsia="zh-CN"/>
              </w:rPr>
            </w:pPr>
            <w:r>
              <w:rPr>
                <w:rFonts w:hint="eastAsia" w:ascii="楷体_GB2312" w:hAnsi="Arial" w:eastAsia="楷体_GB2312" w:cs="Arial"/>
                <w:b/>
                <w:kern w:val="0"/>
                <w:sz w:val="24"/>
                <w:lang w:val="en-US" w:eastAsia="zh-CN"/>
              </w:rPr>
              <w:t>共建项目</w:t>
            </w: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千年书院文化助推惠州创建一流城市的当代价值和现实意义</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杨春来</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惠州市石洞书院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2</w:t>
            </w:r>
          </w:p>
        </w:tc>
        <w:tc>
          <w:tcPr>
            <w:tcW w:w="895" w:type="dxa"/>
            <w:vMerge w:val="continue"/>
            <w:noWrap w:val="0"/>
            <w:vAlign w:val="center"/>
          </w:tcPr>
          <w:p>
            <w:pPr>
              <w:pStyle w:val="7"/>
              <w:jc w:val="left"/>
              <w:rPr>
                <w:rFonts w:hint="eastAsia" w:ascii="楷体_GB2312" w:hAnsi="Arial" w:eastAsia="楷体_GB2312" w:cs="Arial"/>
                <w:b/>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优化惠州营商环境路径研究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徐  敏</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惠州市政府办公室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3</w:t>
            </w:r>
          </w:p>
        </w:tc>
        <w:tc>
          <w:tcPr>
            <w:tcW w:w="895" w:type="dxa"/>
            <w:vMerge w:val="continue"/>
            <w:noWrap w:val="0"/>
            <w:vAlign w:val="center"/>
          </w:tcPr>
          <w:p>
            <w:pPr>
              <w:pStyle w:val="7"/>
              <w:jc w:val="center"/>
              <w:rPr>
                <w:rFonts w:hint="eastAsia"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新冠疫情影响下惠州医药健康产业机遇及振兴路径研究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江鹏</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惠州市药学会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4</w:t>
            </w:r>
          </w:p>
        </w:tc>
        <w:tc>
          <w:tcPr>
            <w:tcW w:w="895" w:type="dxa"/>
            <w:vMerge w:val="continue"/>
            <w:noWrap w:val="0"/>
            <w:vAlign w:val="center"/>
          </w:tcPr>
          <w:p>
            <w:pPr>
              <w:pStyle w:val="7"/>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基于建设国内一流城市的惠州市地质灾害防治管理立体化创新模式研究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王明旭</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5</w:t>
            </w:r>
          </w:p>
        </w:tc>
        <w:tc>
          <w:tcPr>
            <w:tcW w:w="895" w:type="dxa"/>
            <w:vMerge w:val="continue"/>
            <w:noWrap w:val="0"/>
            <w:vAlign w:val="center"/>
          </w:tcPr>
          <w:p>
            <w:pPr>
              <w:pStyle w:val="7"/>
              <w:jc w:val="left"/>
              <w:rPr>
                <w:rFonts w:hint="eastAsia"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湾区+后疫情背景下的惠州一流城市安全研究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谭迎疆</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市警察协会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6</w:t>
            </w:r>
          </w:p>
        </w:tc>
        <w:tc>
          <w:tcPr>
            <w:tcW w:w="895" w:type="dxa"/>
            <w:vMerge w:val="continue"/>
            <w:noWrap w:val="0"/>
            <w:vAlign w:val="center"/>
          </w:tcPr>
          <w:p>
            <w:pPr>
              <w:pStyle w:val="7"/>
              <w:widowControl/>
              <w:jc w:val="center"/>
              <w:rPr>
                <w:rFonts w:hint="eastAsia"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“培养村官大学生工程”研究——基于惠州开放大学的调查研究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张海燕</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惠州开放大学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7</w:t>
            </w:r>
          </w:p>
        </w:tc>
        <w:tc>
          <w:tcPr>
            <w:tcW w:w="895" w:type="dxa"/>
            <w:vMerge w:val="continue"/>
            <w:noWrap w:val="0"/>
            <w:vAlign w:val="center"/>
          </w:tcPr>
          <w:p>
            <w:pPr>
              <w:pStyle w:val="7"/>
              <w:jc w:val="left"/>
              <w:rPr>
                <w:rFonts w:hint="eastAsia" w:ascii="楷体_GB2312" w:hAnsi="Arial" w:eastAsia="楷体_GB2312" w:cs="Arial"/>
                <w:b/>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湾区背景下老年教育发展研究 ——基于惠州地区老年教育的调查</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吴希东</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惠州开放大学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8</w:t>
            </w:r>
          </w:p>
        </w:tc>
        <w:tc>
          <w:tcPr>
            <w:tcW w:w="895" w:type="dxa"/>
            <w:vMerge w:val="continue"/>
            <w:noWrap w:val="0"/>
            <w:vAlign w:val="center"/>
          </w:tcPr>
          <w:p>
            <w:pPr>
              <w:pStyle w:val="7"/>
              <w:jc w:val="left"/>
              <w:rPr>
                <w:rFonts w:hint="eastAsia" w:ascii="楷体_GB2312" w:hAnsi="Arial" w:eastAsia="楷体_GB2312" w:cs="Arial"/>
                <w:b/>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粤港澳大湾区建设中区域社会治理协同体系探索</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陈春梧</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中共惠州市委党校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9</w:t>
            </w:r>
          </w:p>
        </w:tc>
        <w:tc>
          <w:tcPr>
            <w:tcW w:w="895" w:type="dxa"/>
            <w:vMerge w:val="continue"/>
            <w:noWrap w:val="0"/>
            <w:vAlign w:val="center"/>
          </w:tcPr>
          <w:p>
            <w:pPr>
              <w:pStyle w:val="7"/>
              <w:jc w:val="center"/>
              <w:rPr>
                <w:rFonts w:hint="eastAsia"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大力发展惠州海洋经济的对策研究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周爱国</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中共惠州市委党校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10</w:t>
            </w:r>
          </w:p>
        </w:tc>
        <w:tc>
          <w:tcPr>
            <w:tcW w:w="895" w:type="dxa"/>
            <w:vMerge w:val="continue"/>
            <w:noWrap w:val="0"/>
            <w:vAlign w:val="center"/>
          </w:tcPr>
          <w:p>
            <w:pPr>
              <w:pStyle w:val="7"/>
              <w:jc w:val="center"/>
              <w:rPr>
                <w:rFonts w:hint="eastAsia"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惠州融入深圳都市圈的发展路径研究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胡嘉峰</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中共惠州市委党校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11</w:t>
            </w:r>
          </w:p>
        </w:tc>
        <w:tc>
          <w:tcPr>
            <w:tcW w:w="895" w:type="dxa"/>
            <w:vMerge w:val="continue"/>
            <w:noWrap w:val="0"/>
            <w:vAlign w:val="center"/>
          </w:tcPr>
          <w:p>
            <w:pPr>
              <w:pStyle w:val="7"/>
              <w:jc w:val="left"/>
              <w:rPr>
                <w:rFonts w:hint="eastAsia"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惠州党员培训中红色历史文化教育的堵点、难点与突破点——基于全市红色革命遗址普查的调研</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苏  琪</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中共惠州市委党校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12</w:t>
            </w:r>
          </w:p>
        </w:tc>
        <w:tc>
          <w:tcPr>
            <w:tcW w:w="895" w:type="dxa"/>
            <w:vMerge w:val="continue"/>
            <w:noWrap w:val="0"/>
            <w:vAlign w:val="center"/>
          </w:tcPr>
          <w:p>
            <w:pPr>
              <w:pStyle w:val="7"/>
              <w:jc w:val="left"/>
              <w:rPr>
                <w:rFonts w:hint="eastAsia"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关于惠州红色文化传承现状的研究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宋秀杰</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惠州市红色文化促进会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13</w:t>
            </w:r>
          </w:p>
        </w:tc>
        <w:tc>
          <w:tcPr>
            <w:tcW w:w="895" w:type="dxa"/>
            <w:vMerge w:val="continue"/>
            <w:noWrap w:val="0"/>
            <w:vAlign w:val="center"/>
          </w:tcPr>
          <w:p>
            <w:pPr>
              <w:pStyle w:val="7"/>
              <w:jc w:val="left"/>
              <w:rPr>
                <w:rFonts w:hint="eastAsia"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国土资源领域行政非诉执行监督实务研究——</w:t>
            </w:r>
            <w:r>
              <w:rPr>
                <w:rFonts w:hint="eastAsia" w:ascii="仿宋_GB2312" w:hAnsi="仿宋_GB2312" w:eastAsia="仿宋_GB2312" w:cs="Arial"/>
                <w:kern w:val="0"/>
                <w:sz w:val="24"/>
                <w:szCs w:val="22"/>
                <w:lang w:val="en-US" w:eastAsia="zh-CN"/>
              </w:rPr>
              <w:br w:type="textWrapping"/>
            </w:r>
            <w:r>
              <w:rPr>
                <w:rFonts w:hint="eastAsia" w:ascii="仿宋_GB2312" w:hAnsi="仿宋_GB2312" w:eastAsia="仿宋_GB2312" w:cs="Arial"/>
                <w:kern w:val="0"/>
                <w:sz w:val="24"/>
                <w:szCs w:val="22"/>
                <w:lang w:val="en-US" w:eastAsia="zh-CN"/>
              </w:rPr>
              <w:t>以非法占用土地类行政处罚“程序空转”为视角</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黄顺恒</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14</w:t>
            </w:r>
          </w:p>
        </w:tc>
        <w:tc>
          <w:tcPr>
            <w:tcW w:w="895" w:type="dxa"/>
            <w:vMerge w:val="continue"/>
            <w:noWrap w:val="0"/>
            <w:vAlign w:val="center"/>
          </w:tcPr>
          <w:p>
            <w:pPr>
              <w:pStyle w:val="7"/>
              <w:widowControl/>
              <w:jc w:val="left"/>
              <w:rPr>
                <w:rFonts w:hint="eastAsia"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惠州红色文化资源在高校思政课实践教学中的应用与创新研究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王銮玉</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惠州经济职业技术学院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15</w:t>
            </w:r>
          </w:p>
        </w:tc>
        <w:tc>
          <w:tcPr>
            <w:tcW w:w="895" w:type="dxa"/>
            <w:vMerge w:val="continue"/>
            <w:noWrap w:val="0"/>
            <w:vAlign w:val="center"/>
          </w:tcPr>
          <w:p>
            <w:pPr>
              <w:pStyle w:val="7"/>
              <w:widowControl/>
              <w:jc w:val="left"/>
              <w:rPr>
                <w:rFonts w:hint="eastAsia"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湾区视阈下惠州手信品牌文化的塑造与传播</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胡丽丽</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惠州经济职业技术学院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16</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湾区一体化背景下惠州空港经济发展策略研究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白杨</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惠州经济职业技术学院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17</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惠州一流高职人才的三全育人模式研究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游建雄</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惠州经济职业技术学院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18</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湾区背景下深惠产业合作发展策略研究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理阳阳</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19</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粤港澳大湾区视域下“千年雄郡”山水生态伦理构建研究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曾鹰</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20</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惠州市杨村华侨柑桔场、潼湖华侨农场社会化转型研究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陈友乔</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21</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苏轼寓惠诗文英译与海外传播研究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马若飞</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22</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基层社会矛盾多元预防调处化解机制研究——以惠阳实践经验为例</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臧博</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23</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新冠肺炎疫情对惠州社会治理创新的启示</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周巍</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24</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大湾区背景下惠州农业社会化服务的供给侧结构性改革研究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李芳</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25</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惠城区中心城区户外广告规划设计研究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王骏</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26</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新时代背景下惠州传统武术发展研究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段斌</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27</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加强城市文化研究，助推惠州建设国内一流城市</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施少婷</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惠州城市职业学院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28</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对新形势下惠州市妇幼专科医院运用新医疗模式（“互联网+医疗线上+传统线下诊疗”）的效果探讨及分析</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林若萍</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惠州市第一妇幼保健医院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29</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文旅融合背景下公共图书馆服务内容优化研究——基于惠州主题图书馆建设为例</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周琼芳</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惠州慈云图书馆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30</w:t>
            </w:r>
          </w:p>
        </w:tc>
        <w:tc>
          <w:tcPr>
            <w:tcW w:w="895" w:type="dxa"/>
            <w:vMerge w:val="continue"/>
            <w:noWrap w:val="0"/>
            <w:vAlign w:val="center"/>
          </w:tcPr>
          <w:p>
            <w:pPr>
              <w:pStyle w:val="7"/>
              <w:widowControl/>
              <w:jc w:val="center"/>
              <w:rPr>
                <w:rFonts w:hint="eastAsia"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红色文化融入高校志愿服务模式探究——以惠州“红色东江 天使文化”为例</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唐璐</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惠州卫生职业技术学院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eastAsia" w:ascii="楷体_GB2312" w:hAnsi="Arial" w:eastAsia="楷体_GB2312" w:cs="Arial"/>
                <w:kern w:val="0"/>
                <w:sz w:val="24"/>
              </w:rPr>
            </w:pPr>
            <w:r>
              <w:rPr>
                <w:rFonts w:hint="eastAsia" w:ascii="楷体_GB2312" w:hAnsi="Arial" w:eastAsia="楷体_GB2312" w:cs="Arial"/>
                <w:kern w:val="0"/>
                <w:sz w:val="24"/>
              </w:rPr>
              <w:t>31</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老龄化背景下“政校企”养老护理人才协同培养研究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何晓平</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惠州卫生职业技术学院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default" w:ascii="楷体_GB2312" w:hAnsi="Arial" w:eastAsia="楷体_GB2312" w:cs="Arial"/>
                <w:kern w:val="0"/>
                <w:sz w:val="24"/>
                <w:lang w:val="en-US" w:eastAsia="zh-CN"/>
              </w:rPr>
            </w:pPr>
            <w:r>
              <w:rPr>
                <w:rFonts w:hint="eastAsia" w:ascii="楷体_GB2312" w:hAnsi="Arial" w:eastAsia="楷体_GB2312" w:cs="Arial"/>
                <w:kern w:val="0"/>
                <w:sz w:val="24"/>
                <w:lang w:val="en-US" w:eastAsia="zh-CN"/>
              </w:rPr>
              <w:t>32</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协调发展理念下优化营商环境路径研究--以龙门县为例</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何莹</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龙门县委党校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default" w:ascii="楷体_GB2312" w:hAnsi="Arial" w:eastAsia="楷体_GB2312" w:cs="Arial"/>
                <w:kern w:val="0"/>
                <w:sz w:val="24"/>
                <w:lang w:val="en-US" w:eastAsia="zh-CN"/>
              </w:rPr>
            </w:pPr>
            <w:r>
              <w:rPr>
                <w:rFonts w:hint="eastAsia" w:ascii="楷体_GB2312" w:hAnsi="Arial" w:eastAsia="楷体_GB2312" w:cs="Arial"/>
                <w:kern w:val="0"/>
                <w:sz w:val="24"/>
                <w:lang w:val="en-US" w:eastAsia="zh-CN"/>
              </w:rPr>
              <w:t>33</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惠州红色文化与社区教育融合研究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杨玲</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博罗县开放大学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default" w:ascii="楷体_GB2312" w:hAnsi="Arial" w:eastAsia="楷体_GB2312" w:cs="Arial"/>
                <w:kern w:val="0"/>
                <w:sz w:val="24"/>
                <w:lang w:val="en-US" w:eastAsia="zh-CN"/>
              </w:rPr>
            </w:pPr>
            <w:r>
              <w:rPr>
                <w:rFonts w:hint="eastAsia" w:ascii="楷体_GB2312" w:hAnsi="Arial" w:eastAsia="楷体_GB2312" w:cs="Arial"/>
                <w:kern w:val="0"/>
                <w:sz w:val="24"/>
                <w:lang w:val="en-US" w:eastAsia="zh-CN"/>
              </w:rPr>
              <w:t>34</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博罗县基层治理创新模式的探索与实践研究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朱晓方</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中共博罗县委政法委员会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default" w:ascii="楷体_GB2312" w:hAnsi="Arial" w:eastAsia="楷体_GB2312" w:cs="Arial"/>
                <w:kern w:val="0"/>
                <w:sz w:val="24"/>
                <w:lang w:val="en-US" w:eastAsia="zh-CN"/>
              </w:rPr>
            </w:pPr>
            <w:r>
              <w:rPr>
                <w:rFonts w:hint="eastAsia" w:ascii="楷体_GB2312" w:hAnsi="Arial" w:eastAsia="楷体_GB2312" w:cs="Arial"/>
                <w:kern w:val="0"/>
                <w:sz w:val="24"/>
                <w:lang w:val="en-US" w:eastAsia="zh-CN"/>
              </w:rPr>
              <w:t>35</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市域社会治理现代化的内在逻辑与推进路径</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沈晓辉</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中共惠州市委党校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default" w:ascii="楷体_GB2312" w:hAnsi="Arial" w:eastAsia="楷体_GB2312" w:cs="Arial"/>
                <w:kern w:val="0"/>
                <w:sz w:val="24"/>
                <w:lang w:val="en-US" w:eastAsia="zh-CN"/>
              </w:rPr>
            </w:pPr>
            <w:r>
              <w:rPr>
                <w:rFonts w:hint="eastAsia" w:ascii="楷体_GB2312" w:hAnsi="Arial" w:eastAsia="楷体_GB2312" w:cs="Arial"/>
                <w:kern w:val="0"/>
                <w:sz w:val="24"/>
                <w:lang w:val="en-US" w:eastAsia="zh-CN"/>
              </w:rPr>
              <w:t>36</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地方政府高层次人才引进政策研究——以惠州市为例</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申滢</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default" w:ascii="楷体_GB2312" w:hAnsi="Arial" w:eastAsia="楷体_GB2312" w:cs="Arial"/>
                <w:kern w:val="0"/>
                <w:sz w:val="24"/>
                <w:lang w:val="en-US" w:eastAsia="zh-CN"/>
              </w:rPr>
            </w:pPr>
            <w:r>
              <w:rPr>
                <w:rFonts w:hint="eastAsia" w:ascii="楷体_GB2312" w:hAnsi="Arial" w:eastAsia="楷体_GB2312" w:cs="Arial"/>
                <w:kern w:val="0"/>
                <w:sz w:val="24"/>
                <w:lang w:val="en-US" w:eastAsia="zh-CN"/>
              </w:rPr>
              <w:t>37</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新冠疫情全球蔓延下惠州“稳外资外贸”的政策建议</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王凡</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default" w:ascii="楷体_GB2312" w:hAnsi="Arial" w:eastAsia="楷体_GB2312" w:cs="Arial"/>
                <w:kern w:val="0"/>
                <w:sz w:val="24"/>
                <w:lang w:val="en-US" w:eastAsia="zh-CN"/>
              </w:rPr>
            </w:pPr>
            <w:r>
              <w:rPr>
                <w:rFonts w:hint="eastAsia" w:ascii="楷体_GB2312" w:hAnsi="Arial" w:eastAsia="楷体_GB2312" w:cs="Arial"/>
                <w:kern w:val="0"/>
                <w:sz w:val="24"/>
                <w:lang w:val="en-US" w:eastAsia="zh-CN"/>
              </w:rPr>
              <w:t>38</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后疫情时期惠州市司法治理的对策研究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杨云君</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default" w:ascii="楷体_GB2312" w:hAnsi="Arial" w:eastAsia="楷体_GB2312" w:cs="Arial"/>
                <w:kern w:val="0"/>
                <w:sz w:val="24"/>
                <w:lang w:val="en-US" w:eastAsia="zh-CN"/>
              </w:rPr>
            </w:pPr>
            <w:r>
              <w:rPr>
                <w:rFonts w:hint="eastAsia" w:ascii="楷体_GB2312" w:hAnsi="Arial" w:eastAsia="楷体_GB2312" w:cs="Arial"/>
                <w:kern w:val="0"/>
                <w:sz w:val="24"/>
                <w:lang w:val="en-US" w:eastAsia="zh-CN"/>
              </w:rPr>
              <w:t>39</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大湾区背景下惠州生命健康产业高质量发展研究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余学军</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noWrap w:val="0"/>
            <w:vAlign w:val="center"/>
          </w:tcPr>
          <w:p>
            <w:pPr>
              <w:pStyle w:val="7"/>
              <w:widowControl/>
              <w:jc w:val="center"/>
              <w:rPr>
                <w:rFonts w:hint="default" w:ascii="楷体_GB2312" w:hAnsi="Arial" w:eastAsia="楷体_GB2312" w:cs="Arial"/>
                <w:kern w:val="0"/>
                <w:sz w:val="24"/>
                <w:lang w:val="en-US" w:eastAsia="zh-CN"/>
              </w:rPr>
            </w:pPr>
            <w:r>
              <w:rPr>
                <w:rFonts w:hint="eastAsia" w:ascii="楷体_GB2312" w:hAnsi="Arial" w:eastAsia="楷体_GB2312" w:cs="Arial"/>
                <w:kern w:val="0"/>
                <w:sz w:val="24"/>
                <w:lang w:val="en-US" w:eastAsia="zh-CN"/>
              </w:rPr>
              <w:t>40</w:t>
            </w:r>
          </w:p>
        </w:tc>
        <w:tc>
          <w:tcPr>
            <w:tcW w:w="895" w:type="dxa"/>
            <w:vMerge w:val="continue"/>
            <w:noWrap w:val="0"/>
            <w:vAlign w:val="center"/>
          </w:tcPr>
          <w:p>
            <w:pPr>
              <w:pStyle w:val="7"/>
              <w:widowControl/>
              <w:jc w:val="left"/>
              <w:rPr>
                <w:rFonts w:ascii="楷体_GB2312" w:hAnsi="Arial" w:eastAsia="楷体_GB2312" w:cs="Arial"/>
                <w:kern w:val="0"/>
                <w:sz w:val="24"/>
              </w:rPr>
            </w:pPr>
          </w:p>
        </w:tc>
        <w:tc>
          <w:tcPr>
            <w:tcW w:w="5492"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“岭东雄郡”惠州本土钢琴文化发展研究</w:t>
            </w:r>
          </w:p>
        </w:tc>
        <w:tc>
          <w:tcPr>
            <w:tcW w:w="1016"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方芳</w:t>
            </w:r>
          </w:p>
        </w:tc>
        <w:tc>
          <w:tcPr>
            <w:tcW w:w="1554" w:type="dxa"/>
            <w:noWrap w:val="0"/>
            <w:vAlign w:val="center"/>
          </w:tcPr>
          <w:p>
            <w:pPr>
              <w:pStyle w:val="8"/>
              <w:autoSpaceDN w:val="0"/>
              <w:textAlignment w:val="center"/>
              <w:rPr>
                <w:rFonts w:hint="eastAsia" w:ascii="仿宋_GB2312" w:hAnsi="仿宋_GB2312" w:eastAsia="仿宋_GB2312" w:cs="Arial"/>
                <w:kern w:val="0"/>
                <w:sz w:val="24"/>
                <w:szCs w:val="22"/>
                <w:lang w:val="en-US" w:eastAsia="zh-CN"/>
              </w:rPr>
            </w:pPr>
            <w:r>
              <w:rPr>
                <w:rFonts w:hint="eastAsia" w:ascii="仿宋_GB2312" w:hAnsi="仿宋_GB2312" w:eastAsia="仿宋_GB2312" w:cs="Arial"/>
                <w:kern w:val="0"/>
                <w:sz w:val="24"/>
                <w:szCs w:val="22"/>
                <w:lang w:val="en-US" w:eastAsia="zh-CN"/>
              </w:rPr>
              <w:t>惠州学院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tcBorders>
              <w:left w:val="nil"/>
              <w:bottom w:val="nil"/>
              <w:right w:val="nil"/>
            </w:tcBorders>
            <w:noWrap w:val="0"/>
            <w:vAlign w:val="center"/>
          </w:tcPr>
          <w:p>
            <w:pPr>
              <w:pStyle w:val="7"/>
              <w:widowControl/>
              <w:jc w:val="center"/>
              <w:rPr>
                <w:rFonts w:hint="eastAsia" w:ascii="楷体_GB2312" w:hAnsi="Arial" w:eastAsia="楷体_GB2312" w:cs="Arial"/>
                <w:kern w:val="0"/>
                <w:sz w:val="24"/>
              </w:rPr>
            </w:pPr>
          </w:p>
        </w:tc>
        <w:tc>
          <w:tcPr>
            <w:tcW w:w="895" w:type="dxa"/>
            <w:tcBorders>
              <w:left w:val="nil"/>
              <w:bottom w:val="nil"/>
              <w:right w:val="nil"/>
            </w:tcBorders>
            <w:noWrap w:val="0"/>
            <w:vAlign w:val="center"/>
          </w:tcPr>
          <w:p>
            <w:pPr>
              <w:pStyle w:val="7"/>
              <w:widowControl/>
              <w:jc w:val="left"/>
              <w:rPr>
                <w:rFonts w:ascii="楷体_GB2312" w:hAnsi="Arial" w:eastAsia="楷体_GB2312" w:cs="Arial"/>
                <w:kern w:val="0"/>
                <w:sz w:val="24"/>
              </w:rPr>
            </w:pPr>
          </w:p>
        </w:tc>
        <w:tc>
          <w:tcPr>
            <w:tcW w:w="5492" w:type="dxa"/>
            <w:tcBorders>
              <w:left w:val="nil"/>
              <w:bottom w:val="nil"/>
              <w:right w:val="nil"/>
            </w:tcBorders>
            <w:noWrap w:val="0"/>
            <w:vAlign w:val="center"/>
          </w:tcPr>
          <w:p>
            <w:pPr>
              <w:pStyle w:val="8"/>
              <w:autoSpaceDN w:val="0"/>
              <w:jc w:val="left"/>
              <w:textAlignment w:val="center"/>
              <w:rPr>
                <w:rFonts w:ascii="仿宋_GB2312" w:hAnsi="仿宋_GB2312" w:eastAsia="仿宋_GB2312"/>
                <w:color w:val="000000"/>
                <w:sz w:val="24"/>
              </w:rPr>
            </w:pPr>
          </w:p>
        </w:tc>
        <w:tc>
          <w:tcPr>
            <w:tcW w:w="1016" w:type="dxa"/>
            <w:tcBorders>
              <w:left w:val="nil"/>
              <w:bottom w:val="nil"/>
              <w:right w:val="nil"/>
            </w:tcBorders>
            <w:noWrap w:val="0"/>
            <w:vAlign w:val="center"/>
          </w:tcPr>
          <w:p>
            <w:pPr>
              <w:pStyle w:val="8"/>
              <w:autoSpaceDN w:val="0"/>
              <w:jc w:val="center"/>
              <w:textAlignment w:val="center"/>
              <w:rPr>
                <w:rFonts w:ascii="仿宋_GB2312" w:hAnsi="仿宋_GB2312" w:eastAsia="仿宋_GB2312"/>
                <w:color w:val="000000"/>
                <w:sz w:val="24"/>
              </w:rPr>
            </w:pPr>
          </w:p>
        </w:tc>
        <w:tc>
          <w:tcPr>
            <w:tcW w:w="1554" w:type="dxa"/>
            <w:tcBorders>
              <w:left w:val="nil"/>
              <w:bottom w:val="nil"/>
              <w:right w:val="nil"/>
            </w:tcBorders>
            <w:noWrap w:val="0"/>
            <w:vAlign w:val="center"/>
          </w:tcPr>
          <w:p>
            <w:pPr>
              <w:pStyle w:val="8"/>
              <w:autoSpaceDN w:val="0"/>
              <w:jc w:val="center"/>
              <w:textAlignment w:val="center"/>
              <w:rPr>
                <w:rFonts w:ascii="仿宋_GB2312" w:hAnsi="仿宋_GB2312" w:eastAsia="仿宋_GB2312"/>
                <w:color w:val="000000"/>
                <w:sz w:val="24"/>
              </w:rPr>
            </w:pPr>
          </w:p>
        </w:tc>
      </w:tr>
    </w:tbl>
    <w:p>
      <w:pPr>
        <w:pStyle w:val="9"/>
        <w:autoSpaceDE w:val="0"/>
        <w:autoSpaceDN w:val="0"/>
        <w:adjustRightInd w:val="0"/>
        <w:spacing w:line="560" w:lineRule="exact"/>
        <w:jc w:val="left"/>
        <w:rPr>
          <w:rFonts w:hint="eastAsia" w:ascii="仿宋_GB2312" w:eastAsia="仿宋_GB2312" w:cs="宋体"/>
          <w:kern w:val="0"/>
          <w:sz w:val="30"/>
          <w:szCs w:val="30"/>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9653A"/>
    <w:rsid w:val="0CC96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w:uiPriority w:val="0"/>
    <w:pPr>
      <w:widowControl w:val="0"/>
      <w:jc w:val="both"/>
    </w:pPr>
    <w:rPr>
      <w:rFonts w:ascii="Times New Roman" w:hAnsi="Times New Roman" w:eastAsia="宋体" w:cs="Times New Roman"/>
      <w:kern w:val="2"/>
      <w:sz w:val="21"/>
      <w:lang w:val="en-US" w:eastAsia="zh-CN"/>
    </w:rPr>
  </w:style>
  <w:style w:type="paragraph" w:customStyle="1" w:styleId="5">
    <w:name w:val="普通(网站) New"/>
    <w:basedOn w:val="4"/>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2020-07-03T03:38:00Z</dcterms:created>
  <dc:creator>任我行</dc:creator>
  <cp:lastModifiedBy>任我行</cp:lastModifiedBy>
  <dcterms:modified xsi:type="dcterms:W3CDTF">2020-07-03T03:44:00Z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